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4"/>
          <w:szCs w:val="34"/>
        </w:rPr>
      </w:pPr>
      <w:r w:rsidDel="00000000" w:rsidR="00000000" w:rsidRPr="00000000">
        <w:rPr>
          <w:b w:val="1"/>
          <w:bCs w:val="1"/>
          <w:sz w:val="34"/>
          <w:szCs w:val="34"/>
          <w:rtl w:val="0"/>
        </w:rPr>
        <w:t xml:space="preserve">Buy PVA Gmail Accounts - Instant Access &amp; Cheap Rates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Strategic Architecture of Digital Authority: Maximizing ROI with Aged Gmail Assets</w:t>
      </w:r>
    </w:p>
    <w:p w:rsidR="00000000" w:rsidDel="00000000" w:rsidP="00000000" w:rsidRDefault="00000000" w:rsidRPr="00000000" w14:paraId="00000005">
      <w:pPr>
        <w:rPr/>
      </w:pPr>
      <w:r w:rsidDel="00000000" w:rsidR="00000000" w:rsidRPr="00000000">
        <w:rPr>
          <w:rtl w:val="0"/>
        </w:rPr>
        <w:t xml:space="preserve">In the hyper-competitive landscape of digital operations, your infrastructure is not merely a utility; it is the primary determinant of your enterprise-level scalability. Professionals managing high-volume outreach, sophisticated marketing automation, or multi-channel lead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5731200" cy="4584700"/>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31200" cy="4584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generation recognize that reliance on fresh, unverified accounts is a fundamental strategic liability. Such assets trigger aggressive security filters, suffer from abysmal deliverability, and frequently result in terminal suspension. *Premium Aged Gmail Assets* represent the gold standard for operators who demand stability, inbox dominance, and bulletproof operational continuity.</w:t>
      </w:r>
    </w:p>
    <w:p w:rsidR="00000000" w:rsidDel="00000000" w:rsidP="00000000" w:rsidRDefault="00000000" w:rsidRPr="00000000" w14:paraId="0000000B">
      <w:pPr>
        <w:rPr/>
      </w:pPr>
      <w:r w:rsidDel="00000000" w:rsidR="00000000" w:rsidRPr="00000000">
        <w:rPr>
          <w:rtl w:val="0"/>
        </w:rPr>
        <w:t xml:space="preserve">## The Algorithmic Hierarchy: Why Historical Trust is Non-Negotiable</w:t>
      </w:r>
    </w:p>
    <w:p w:rsidR="00000000" w:rsidDel="00000000" w:rsidP="00000000" w:rsidRDefault="00000000" w:rsidRPr="00000000" w14:paraId="0000000C">
      <w:pPr>
        <w:rPr/>
      </w:pPr>
      <w:r w:rsidDel="00000000" w:rsidR="00000000" w:rsidRPr="00000000">
        <w:rPr>
          <w:rtl w:val="0"/>
        </w:rPr>
        <w:t xml:space="preserve">Google’s security ecosystem is built upon a sophisticated "Trust Score" architecture. This proprietary algorithm evaluates every account based on the depth and authenticity of its historical data. Fresh accounts are systematically relegated to "high-risk" buckets, subjecting them to aggressive rate-limiting, mandatory phone verification (PVA) loops, and eventual shadow-bans.</w:t>
      </w:r>
    </w:p>
    <w:p w:rsidR="00000000" w:rsidDel="00000000" w:rsidP="00000000" w:rsidRDefault="00000000" w:rsidRPr="00000000" w14:paraId="0000000D">
      <w:pPr>
        <w:rPr/>
      </w:pPr>
      <w:r w:rsidDel="00000000" w:rsidR="00000000" w:rsidRPr="00000000">
        <w:rPr>
          <w:rtl w:val="0"/>
        </w:rPr>
        <w:t xml:space="preserve">In contrast, our aged assets have been curated to possess a pre-established reputation. By leveraging this history, you bypass the "sandbox" phase entirely. You gain the ability to deploy high-intensity campaigns from day one, operating with an authority level that makes your digital footprint virtually indistinguishable from a legitimate, long-term user.</w:t>
      </w:r>
    </w:p>
    <w:p w:rsidR="00000000" w:rsidDel="00000000" w:rsidP="00000000" w:rsidRDefault="00000000" w:rsidRPr="00000000" w14:paraId="0000000E">
      <w:pPr>
        <w:rPr/>
      </w:pPr>
      <w:r w:rsidDel="00000000" w:rsidR="00000000" w:rsidRPr="00000000">
        <w:rPr>
          <w:rtl w:val="0"/>
        </w:rPr>
        <w:t xml:space="preserve">## Uncompromising Standards of Asset Integrity</w:t>
      </w:r>
    </w:p>
    <w:p w:rsidR="00000000" w:rsidDel="00000000" w:rsidP="00000000" w:rsidRDefault="00000000" w:rsidRPr="00000000" w14:paraId="0000000F">
      <w:pPr>
        <w:rPr/>
      </w:pPr>
      <w:r w:rsidDel="00000000" w:rsidR="00000000" w:rsidRPr="00000000">
        <w:rPr>
          <w:rtl w:val="0"/>
        </w:rPr>
        <w:t xml:space="preserve">We define our inventory through a rigorous, enterprise-grade curation process. We do not provide "accounts"; we provide hardened digital identities designed to thrive in restrictive environments.</w:t>
      </w:r>
    </w:p>
    <w:p w:rsidR="00000000" w:rsidDel="00000000" w:rsidP="00000000" w:rsidRDefault="00000000" w:rsidRPr="00000000" w14:paraId="00000010">
      <w:pPr>
        <w:rPr/>
      </w:pPr>
      <w:r w:rsidDel="00000000" w:rsidR="00000000" w:rsidRPr="00000000">
        <w:rPr>
          <w:rtl w:val="0"/>
        </w:rPr>
        <w:t xml:space="preserve"> 1. *Organic Behavioral Simulation:* Every profile undergoes an extensive maturation period. We cultivate diverse, human-like activity patterns across the entire Google ecosystem—including Drive, Maps, YouTube, and Calendar. This establishes a multifaceted, verifiable footprint that satisfies even the most stringent security audits.</w:t>
      </w:r>
    </w:p>
    <w:p w:rsidR="00000000" w:rsidDel="00000000" w:rsidP="00000000" w:rsidRDefault="00000000" w:rsidRPr="00000000" w14:paraId="00000011">
      <w:pPr>
        <w:rPr/>
      </w:pPr>
      <w:r w:rsidDel="00000000" w:rsidR="00000000" w:rsidRPr="00000000">
        <w:rPr>
          <w:rtl w:val="0"/>
        </w:rPr>
        <w:t xml:space="preserve"> 2. *Isolated Infrastructure Protocols:* To mitigate the risk of network-level blacklisting, each asset is managed within strictly independent, clean environments. Our infrastructure ensures that your operations remain insulated, preventing cross-contamination from other campaigns or tainted IP ranges.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5731200" cy="4584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45847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3. *Absolute Security Transparency:* Upon transfer, you receive full control over the asset. This includes comprehensive documentation regarding recovery credentials, secondary verification protocols, and security configurations. We guarantee that from the moment of transfer, you possess total, exclusive, and permanent custodianship.</w:t>
      </w:r>
    </w:p>
    <w:p w:rsidR="00000000" w:rsidDel="00000000" w:rsidP="00000000" w:rsidRDefault="00000000" w:rsidRPr="00000000" w14:paraId="00000015">
      <w:pPr>
        <w:rPr/>
      </w:pPr>
      <w:r w:rsidDel="00000000" w:rsidR="00000000" w:rsidRPr="00000000">
        <w:rPr>
          <w:rtl w:val="0"/>
        </w:rPr>
        <w:t xml:space="preserve">## The Framework for Sustainable Scaling</w:t>
      </w:r>
    </w:p>
    <w:p w:rsidR="00000000" w:rsidDel="00000000" w:rsidP="00000000" w:rsidRDefault="00000000" w:rsidRPr="00000000" w14:paraId="00000016">
      <w:pPr>
        <w:rPr/>
      </w:pPr>
      <w:r w:rsidDel="00000000" w:rsidR="00000000" w:rsidRPr="00000000">
        <w:rPr>
          <w:rtl w:val="0"/>
        </w:rPr>
        <w:t xml:space="preserve">Acquiring high-authority assets is merely the foundational step. The true competitive advantage lies in your ability to sustain that performance across massive, automated workflows.</w:t>
      </w:r>
    </w:p>
    <w:p w:rsidR="00000000" w:rsidDel="00000000" w:rsidP="00000000" w:rsidRDefault="00000000" w:rsidRPr="00000000" w14:paraId="00000017">
      <w:pPr>
        <w:rPr/>
      </w:pPr>
      <w:r w:rsidDel="00000000" w:rsidR="00000000" w:rsidRPr="00000000">
        <w:rPr>
          <w:rtl w:val="0"/>
        </w:rPr>
        <w:t xml:space="preserve"> * *Advanced Session Integrity:* Deploy containerized browser environments or dedicated, persistent virtual machines for every profile. This preserves a distinct, untainted digital signature, ensuring your infrastructure remains impenetrable to correlation-based security flagging.</w:t>
      </w:r>
    </w:p>
    <w:p w:rsidR="00000000" w:rsidDel="00000000" w:rsidP="00000000" w:rsidRDefault="00000000" w:rsidRPr="00000000" w14:paraId="00000018">
      <w:pPr>
        <w:rPr/>
      </w:pPr>
      <w:r w:rsidDel="00000000" w:rsidR="00000000" w:rsidRPr="00000000">
        <w:rPr>
          <w:rtl w:val="0"/>
        </w:rPr>
        <w:t xml:space="preserve"> * *Proactive Trust Reinforcement:* Implement a cycle of periodic, low-frequency, human-like interactions. This maintains the "liveness" of your inventory, continuously reinforcing the account’s high trust score and mitigating the risk of dormant-account flagging.</w:t>
      </w:r>
    </w:p>
    <w:p w:rsidR="00000000" w:rsidDel="00000000" w:rsidP="00000000" w:rsidRDefault="00000000" w:rsidRPr="00000000" w14:paraId="00000019">
      <w:pPr>
        <w:rPr/>
      </w:pPr>
      <w:r w:rsidDel="00000000" w:rsidR="00000000" w:rsidRPr="00000000">
        <w:rPr>
          <w:rtl w:val="0"/>
        </w:rPr>
        <w:t xml:space="preserve"> * *Residential Network Hygiene:* When operating at scale, integrate elite-tier, residential-grade proxy connections. This ensures that every individual account originates from a reputable, localized network source, effectively neutralizing the most common automated detection vectors.</w:t>
      </w:r>
    </w:p>
    <w:p w:rsidR="00000000" w:rsidDel="00000000" w:rsidP="00000000" w:rsidRDefault="00000000" w:rsidRPr="00000000" w14:paraId="0000001A">
      <w:pPr>
        <w:rPr/>
      </w:pPr>
      <w:r w:rsidDel="00000000" w:rsidR="00000000" w:rsidRPr="00000000">
        <w:rPr>
          <w:rtl w:val="0"/>
        </w:rPr>
        <w:t xml:space="preserve">## Strategic FAQ: Addressing the Operational Gap</w:t>
      </w:r>
    </w:p>
    <w:p w:rsidR="00000000" w:rsidDel="00000000" w:rsidP="00000000" w:rsidRDefault="00000000" w:rsidRPr="00000000" w14:paraId="0000001B">
      <w:pPr>
        <w:rPr/>
      </w:pPr>
      <w:r w:rsidDel="00000000" w:rsidR="00000000" w:rsidRPr="00000000">
        <w:rPr>
          <w:rtl w:val="0"/>
        </w:rPr>
        <w:t xml:space="preserve">*Q: Why does the "Age" of an account dictate the ROI of my outreach?*</w:t>
      </w:r>
    </w:p>
    <w:p w:rsidR="00000000" w:rsidDel="00000000" w:rsidP="00000000" w:rsidRDefault="00000000" w:rsidRPr="00000000" w14:paraId="0000001C">
      <w:pPr>
        <w:rPr/>
      </w:pPr>
      <w:r w:rsidDel="00000000" w:rsidR="00000000" w:rsidRPr="00000000">
        <w:rPr>
          <w:rtl w:val="0"/>
        </w:rPr>
        <w:t xml:space="preserve">A: Deliverability is the bedrock of outreach profitability. Aged accounts possess a seasoned sender reputation that automated spam filters trust implicitly. This translates directly to higher open rates, increased primary inbox placement, and a substantial reduction in bounce-backs.</w:t>
      </w:r>
    </w:p>
    <w:p w:rsidR="00000000" w:rsidDel="00000000" w:rsidP="00000000" w:rsidRDefault="00000000" w:rsidRPr="00000000" w14:paraId="0000001D">
      <w:pPr>
        <w:rPr/>
      </w:pPr>
      <w:r w:rsidDel="00000000" w:rsidR="00000000" w:rsidRPr="00000000">
        <w:rPr>
          <w:rtl w:val="0"/>
        </w:rPr>
        <w:t xml:space="preserve">*Q: Can these assets handle the requirements of high-frequency automation?*</w:t>
      </w:r>
    </w:p>
    <w:p w:rsidR="00000000" w:rsidDel="00000000" w:rsidP="00000000" w:rsidRDefault="00000000" w:rsidRPr="00000000" w14:paraId="0000001E">
      <w:pPr>
        <w:rPr/>
      </w:pPr>
      <w:r w:rsidDel="00000000" w:rsidR="00000000" w:rsidRPr="00000000">
        <w:rPr>
          <w:rtl w:val="0"/>
        </w:rPr>
        <w:t xml:space="preserve">A: Absolutely. Our profiles are explicitly engineered for seamless integration with industry-leading automation suites—such as Smartlead, Instantly, and Lemlist. They are "warmed up" and prepared for immediate, high-throughput deployment.</w:t>
      </w:r>
    </w:p>
    <w:p w:rsidR="00000000" w:rsidDel="00000000" w:rsidP="00000000" w:rsidRDefault="00000000" w:rsidRPr="00000000" w14:paraId="0000001F">
      <w:pPr>
        <w:rPr/>
      </w:pPr>
      <w:r w:rsidDel="00000000" w:rsidR="00000000" w:rsidRPr="00000000">
        <w:rPr>
          <w:rtl w:val="0"/>
        </w:rPr>
        <w:t xml:space="preserve">*Q: How is my long-term ownership of these assets protected?*</w:t>
      </w:r>
    </w:p>
    <w:p w:rsidR="00000000" w:rsidDel="00000000" w:rsidP="00000000" w:rsidRDefault="00000000" w:rsidRPr="00000000" w14:paraId="00000020">
      <w:pPr>
        <w:rPr/>
      </w:pPr>
      <w:r w:rsidDel="00000000" w:rsidR="00000000" w:rsidRPr="00000000">
        <w:rPr>
          <w:rtl w:val="0"/>
        </w:rPr>
        <w:t xml:space="preserve">A: Our transfer protocol is designed for total security. We provide a step-by-step framework to update recovery emails, security contact numbers, and all MFA settings, ensuring that the profile becomes an immutable asset under your complete control.</w:t>
      </w:r>
    </w:p>
    <w:p w:rsidR="00000000" w:rsidDel="00000000" w:rsidP="00000000" w:rsidRDefault="00000000" w:rsidRPr="00000000" w14:paraId="00000021">
      <w:pPr>
        <w:rPr/>
      </w:pPr>
      <w:r w:rsidDel="00000000" w:rsidR="00000000" w:rsidRPr="00000000">
        <w:rPr>
          <w:rtl w:val="0"/>
        </w:rPr>
        <w:t xml:space="preserve">## Future-Proofing for Enterprise Growth</w:t>
      </w:r>
    </w:p>
    <w:p w:rsidR="00000000" w:rsidDel="00000000" w:rsidP="00000000" w:rsidRDefault="00000000" w:rsidRPr="00000000" w14:paraId="00000022">
      <w:pPr>
        <w:rPr/>
      </w:pPr>
      <w:r w:rsidDel="00000000" w:rsidR="00000000" w:rsidRPr="00000000">
        <w:rPr/>
        <w:drawing>
          <wp:inline distB="114300" distT="114300" distL="114300" distR="114300">
            <wp:extent cx="5731200" cy="4584700"/>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45847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digital landscape is becoming increasingly hostile toward disposable, low-quality infrastructure. As security systems become more intelligent, the barrier to entry rises, and the cost of managing account disruptions continues to climb. Professionals who persist with inferior tools will be systematically filtered out of the market.</w:t>
      </w:r>
    </w:p>
    <w:p w:rsidR="00000000" w:rsidDel="00000000" w:rsidP="00000000" w:rsidRDefault="00000000" w:rsidRPr="00000000" w14:paraId="00000024">
      <w:pPr>
        <w:rPr/>
      </w:pPr>
      <w:r w:rsidDel="00000000" w:rsidR="00000000" w:rsidRPr="00000000">
        <w:rPr>
          <w:rtl w:val="0"/>
        </w:rPr>
        <w:t xml:space="preserve">For those focused on sustainable, enterprise-level scaling, prioritizing high-authority infrastructure is the most decisive and strategic move you can make. It is the transition from fighting the algorithm to mastering it.</w:t>
      </w:r>
    </w:p>
    <w:p w:rsidR="00000000" w:rsidDel="00000000" w:rsidP="00000000" w:rsidRDefault="00000000" w:rsidRPr="00000000" w14:paraId="00000025">
      <w:pPr>
        <w:rPr/>
      </w:pPr>
      <w:r w:rsidDel="00000000" w:rsidR="00000000" w:rsidRPr="00000000">
        <w:rPr>
          <w:rtl w:val="0"/>
        </w:rPr>
        <w:t xml:space="preserve">*Optimize your infrastructure and eliminate the bottlenecks hindering your growth.* Contact us today to access our premium inventory and integrate the enterprise-grade stability your operations require.</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